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126655">
      <w:pPr>
        <w:spacing w:before="115" w:line="526" w:lineRule="exact"/>
        <w:ind w:left="690"/>
        <w:rPr>
          <w:rFonts w:ascii="华文中宋" w:hAnsi="华文中宋" w:eastAsia="华文中宋" w:cs="华文中宋"/>
          <w:sz w:val="31"/>
          <w:szCs w:val="31"/>
        </w:rPr>
      </w:pPr>
      <w:r>
        <w:rPr>
          <w:rFonts w:ascii="华文中宋" w:hAnsi="华文中宋" w:eastAsia="华文中宋" w:cs="华文中宋"/>
          <w:color w:val="191919"/>
          <w:spacing w:val="-5"/>
          <w:position w:val="17"/>
          <w:sz w:val="31"/>
          <w:szCs w:val="31"/>
        </w:rPr>
        <w:t>湖南省</w:t>
      </w:r>
      <w:r>
        <w:rPr>
          <w:rFonts w:ascii="华文中宋" w:hAnsi="华文中宋" w:eastAsia="华文中宋" w:cs="华文中宋"/>
          <w:color w:val="191919"/>
          <w:spacing w:val="-32"/>
          <w:position w:val="17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191919"/>
          <w:spacing w:val="-5"/>
          <w:position w:val="17"/>
          <w:sz w:val="31"/>
          <w:szCs w:val="31"/>
        </w:rPr>
        <w:t>202</w:t>
      </w:r>
      <w:r>
        <w:rPr>
          <w:rFonts w:hint="eastAsia" w:ascii="Times New Roman" w:hAnsi="Times New Roman" w:eastAsia="宋体" w:cs="Times New Roman"/>
          <w:color w:val="191919"/>
          <w:spacing w:val="-5"/>
          <w:position w:val="17"/>
          <w:sz w:val="31"/>
          <w:szCs w:val="31"/>
          <w:lang w:val="en-US" w:eastAsia="zh-CN"/>
        </w:rPr>
        <w:t>5</w:t>
      </w:r>
      <w:r>
        <w:rPr>
          <w:rFonts w:ascii="Times New Roman" w:hAnsi="Times New Roman" w:eastAsia="Times New Roman" w:cs="Times New Roman"/>
          <w:color w:val="191919"/>
          <w:spacing w:val="-5"/>
          <w:position w:val="17"/>
          <w:sz w:val="31"/>
          <w:szCs w:val="31"/>
        </w:rPr>
        <w:t xml:space="preserve"> </w:t>
      </w:r>
      <w:r>
        <w:rPr>
          <w:rFonts w:ascii="华文中宋" w:hAnsi="华文中宋" w:eastAsia="华文中宋" w:cs="华文中宋"/>
          <w:color w:val="191919"/>
          <w:spacing w:val="-5"/>
          <w:position w:val="17"/>
          <w:sz w:val="31"/>
          <w:szCs w:val="31"/>
        </w:rPr>
        <w:t>年普通高等学校专升本</w:t>
      </w:r>
      <w:r>
        <w:rPr>
          <w:rFonts w:hint="eastAsia" w:ascii="华文中宋" w:hAnsi="华文中宋" w:eastAsia="华文中宋" w:cs="华文中宋"/>
          <w:color w:val="191919"/>
          <w:spacing w:val="-5"/>
          <w:position w:val="17"/>
          <w:sz w:val="31"/>
          <w:szCs w:val="31"/>
          <w:lang w:val="en-US" w:eastAsia="zh-CN"/>
        </w:rPr>
        <w:t>专业</w:t>
      </w:r>
      <w:r>
        <w:rPr>
          <w:rFonts w:ascii="华文中宋" w:hAnsi="华文中宋" w:eastAsia="华文中宋" w:cs="华文中宋"/>
          <w:color w:val="191919"/>
          <w:spacing w:val="-6"/>
          <w:position w:val="17"/>
          <w:sz w:val="31"/>
          <w:szCs w:val="31"/>
        </w:rPr>
        <w:t>科目考试要求</w:t>
      </w:r>
    </w:p>
    <w:p w14:paraId="5BD2FD39">
      <w:pPr>
        <w:spacing w:before="1" w:line="198" w:lineRule="auto"/>
        <w:jc w:val="center"/>
        <w:rPr>
          <w:rFonts w:hint="default" w:ascii="华文中宋" w:hAnsi="华文中宋" w:eastAsia="华文中宋" w:cs="华文中宋"/>
          <w:sz w:val="36"/>
          <w:szCs w:val="36"/>
          <w:lang w:val="en-US" w:eastAsia="zh-CN"/>
        </w:rPr>
      </w:pPr>
      <w:r>
        <w:rPr>
          <w:rFonts w:hint="eastAsia" w:ascii="华文中宋" w:hAnsi="华文中宋" w:eastAsia="华文中宋" w:cs="华文中宋"/>
          <w:color w:val="191919"/>
          <w:spacing w:val="-11"/>
          <w:sz w:val="36"/>
          <w:szCs w:val="36"/>
          <w:lang w:eastAsia="zh-CN"/>
        </w:rPr>
        <w:t>《国际贸易理论》</w:t>
      </w:r>
      <w:r>
        <w:rPr>
          <w:rFonts w:hint="eastAsia" w:ascii="华文中宋" w:hAnsi="华文中宋" w:eastAsia="华文中宋" w:cs="华文中宋"/>
          <w:color w:val="191919"/>
          <w:spacing w:val="-11"/>
          <w:sz w:val="36"/>
          <w:szCs w:val="36"/>
          <w:lang w:val="en-US" w:eastAsia="zh-CN"/>
        </w:rPr>
        <w:t>课程专升本考试大纲</w:t>
      </w:r>
    </w:p>
    <w:p w14:paraId="5CF55EA3">
      <w:pPr>
        <w:spacing w:line="318" w:lineRule="auto"/>
        <w:rPr>
          <w:rFonts w:ascii="Arial"/>
          <w:sz w:val="21"/>
        </w:rPr>
      </w:pPr>
    </w:p>
    <w:p w14:paraId="0FA6F521">
      <w:pPr>
        <w:spacing w:line="319" w:lineRule="auto"/>
        <w:rPr>
          <w:rFonts w:ascii="Arial"/>
          <w:sz w:val="21"/>
        </w:rPr>
      </w:pPr>
    </w:p>
    <w:p w14:paraId="4034059F">
      <w:pPr>
        <w:spacing w:before="103" w:line="198" w:lineRule="auto"/>
        <w:ind w:left="3163"/>
        <w:rPr>
          <w:rFonts w:ascii="华文中宋" w:hAnsi="华文中宋" w:eastAsia="华文中宋" w:cs="华文中宋"/>
          <w:sz w:val="28"/>
          <w:szCs w:val="28"/>
        </w:rPr>
      </w:pPr>
      <w:r>
        <w:rPr>
          <w:rFonts w:ascii="华文中宋" w:hAnsi="华文中宋" w:eastAsia="华文中宋" w:cs="华文中宋"/>
          <w:spacing w:val="-19"/>
          <w:sz w:val="28"/>
          <w:szCs w:val="28"/>
        </w:rPr>
        <w:t>Ⅰ.  考试内容与要求</w:t>
      </w:r>
    </w:p>
    <w:p w14:paraId="1E34C0D2">
      <w:pPr>
        <w:spacing w:line="333" w:lineRule="auto"/>
        <w:rPr>
          <w:rFonts w:ascii="Arial"/>
          <w:sz w:val="21"/>
        </w:rPr>
      </w:pPr>
      <w:bookmarkStart w:id="0" w:name="_GoBack"/>
      <w:bookmarkEnd w:id="0"/>
    </w:p>
    <w:p w14:paraId="6C68C0D9">
      <w:pPr>
        <w:spacing w:line="333" w:lineRule="auto"/>
        <w:rPr>
          <w:rFonts w:ascii="Arial"/>
          <w:sz w:val="21"/>
        </w:rPr>
      </w:pPr>
    </w:p>
    <w:p w14:paraId="79893762">
      <w:pPr>
        <w:pStyle w:val="2"/>
        <w:spacing w:before="1" w:line="217" w:lineRule="auto"/>
        <w:ind w:left="21"/>
      </w:pPr>
      <w:r>
        <w:rPr>
          <w:spacing w:val="-17"/>
        </w:rPr>
        <w:t>本科目考试内容包括</w:t>
      </w:r>
      <w:r>
        <w:rPr>
          <w:rFonts w:hint="eastAsia"/>
          <w:spacing w:val="-17"/>
          <w:lang w:eastAsia="zh-CN"/>
        </w:rPr>
        <w:t>国际贸易纯理论和国际贸易政策理论两</w:t>
      </w:r>
      <w:r>
        <w:rPr>
          <w:spacing w:val="-17"/>
        </w:rPr>
        <w:t>个部分，主要考查考生识记、理解、</w:t>
      </w:r>
      <w:r>
        <w:rPr>
          <w:rFonts w:hint="eastAsia"/>
          <w:spacing w:val="-17"/>
          <w:lang w:eastAsia="zh-CN"/>
        </w:rPr>
        <w:t>计算、综合</w:t>
      </w:r>
      <w:r>
        <w:rPr>
          <w:spacing w:val="-17"/>
        </w:rPr>
        <w:t>分析</w:t>
      </w:r>
      <w:r>
        <w:rPr>
          <w:spacing w:val="-24"/>
        </w:rPr>
        <w:t>等能力。</w:t>
      </w:r>
    </w:p>
    <w:p w14:paraId="589718CE">
      <w:pPr>
        <w:spacing w:before="231" w:line="219" w:lineRule="auto"/>
        <w:ind w:left="535"/>
        <w:rPr>
          <w:rFonts w:hint="eastAsia" w:ascii="黑体" w:hAnsi="黑体" w:eastAsia="黑体" w:cs="黑体"/>
          <w:sz w:val="28"/>
          <w:szCs w:val="28"/>
          <w:lang w:eastAsia="zh-CN"/>
        </w:rPr>
      </w:pPr>
      <w:r>
        <w:rPr>
          <w:rFonts w:ascii="黑体" w:hAnsi="黑体" w:eastAsia="黑体" w:cs="黑体"/>
          <w:spacing w:val="-15"/>
          <w:sz w:val="28"/>
          <w:szCs w:val="28"/>
        </w:rPr>
        <w:t>一、</w:t>
      </w:r>
      <w:r>
        <w:rPr>
          <w:rFonts w:hint="eastAsia" w:ascii="黑体" w:hAnsi="黑体" w:eastAsia="黑体" w:cs="黑体"/>
          <w:spacing w:val="-15"/>
          <w:sz w:val="28"/>
          <w:szCs w:val="28"/>
          <w:lang w:eastAsia="zh-CN"/>
        </w:rPr>
        <w:t>国际贸易纯理论</w:t>
      </w:r>
    </w:p>
    <w:p w14:paraId="16CA57CC">
      <w:pPr>
        <w:pStyle w:val="2"/>
        <w:spacing w:before="1" w:line="216" w:lineRule="auto"/>
        <w:ind w:left="17"/>
        <w:rPr>
          <w:rFonts w:hint="eastAsia"/>
          <w:spacing w:val="-18"/>
          <w:position w:val="21"/>
          <w:lang w:eastAsia="zh-CN"/>
        </w:rPr>
      </w:pPr>
      <w:r>
        <w:rPr>
          <w:rFonts w:ascii="Times New Roman" w:hAnsi="Times New Roman" w:eastAsia="Times New Roman" w:cs="Times New Roman"/>
          <w:spacing w:val="-18"/>
          <w:position w:val="21"/>
        </w:rPr>
        <w:t>1</w:t>
      </w:r>
      <w:r>
        <w:rPr>
          <w:spacing w:val="-18"/>
          <w:position w:val="21"/>
        </w:rPr>
        <w:t>．</w:t>
      </w:r>
      <w:r>
        <w:rPr>
          <w:rFonts w:hint="eastAsia"/>
          <w:spacing w:val="-18"/>
          <w:position w:val="21"/>
          <w:lang w:eastAsia="zh-CN"/>
        </w:rPr>
        <w:t>理解封闭条件和开放条件下的一般均衡，掌握国际贸易理论的主要分析工具与模型框架。</w:t>
      </w:r>
    </w:p>
    <w:p w14:paraId="1019D0E6">
      <w:pPr>
        <w:pStyle w:val="2"/>
        <w:spacing w:before="1" w:line="221" w:lineRule="auto"/>
        <w:ind w:left="12"/>
        <w:rPr>
          <w:rFonts w:hint="eastAsia"/>
          <w:spacing w:val="-17"/>
          <w:position w:val="21"/>
          <w:lang w:eastAsia="zh-CN"/>
        </w:rPr>
      </w:pPr>
      <w:r>
        <w:rPr>
          <w:rFonts w:ascii="Times New Roman" w:hAnsi="Times New Roman" w:eastAsia="Times New Roman" w:cs="Times New Roman"/>
          <w:spacing w:val="-17"/>
          <w:position w:val="21"/>
        </w:rPr>
        <w:t>2</w:t>
      </w:r>
      <w:r>
        <w:rPr>
          <w:spacing w:val="-17"/>
          <w:position w:val="21"/>
        </w:rPr>
        <w:t>．</w:t>
      </w:r>
      <w:r>
        <w:rPr>
          <w:rFonts w:hint="eastAsia"/>
          <w:spacing w:val="-17"/>
          <w:position w:val="21"/>
          <w:lang w:eastAsia="zh-CN"/>
        </w:rPr>
        <w:t>了解古典贸易理论的演变、验证与评价，掌握李嘉图模型的基本结构和均衡解。</w:t>
      </w:r>
    </w:p>
    <w:p w14:paraId="14951217">
      <w:pPr>
        <w:pStyle w:val="2"/>
        <w:spacing w:before="1" w:line="218" w:lineRule="auto"/>
        <w:rPr>
          <w:rFonts w:hint="eastAsia"/>
          <w:spacing w:val="-16"/>
          <w:position w:val="21"/>
          <w:lang w:eastAsia="zh-CN"/>
        </w:rPr>
      </w:pPr>
      <w:r>
        <w:rPr>
          <w:rFonts w:ascii="Times New Roman" w:hAnsi="Times New Roman" w:eastAsia="Times New Roman" w:cs="Times New Roman"/>
          <w:spacing w:val="-16"/>
          <w:position w:val="21"/>
        </w:rPr>
        <w:t>3</w:t>
      </w:r>
      <w:r>
        <w:rPr>
          <w:spacing w:val="-16"/>
          <w:position w:val="21"/>
        </w:rPr>
        <w:t>．</w:t>
      </w:r>
      <w:r>
        <w:rPr>
          <w:rFonts w:hint="eastAsia"/>
          <w:spacing w:val="-16"/>
          <w:position w:val="21"/>
          <w:lang w:eastAsia="zh-CN"/>
        </w:rPr>
        <w:t>了解要素价格均等化理论、要素禀赋理论的验证与补充，掌握要素禀赋理论模型、要素积累与国际贸易，重点掌握</w:t>
      </w:r>
      <w:r>
        <w:rPr>
          <w:rFonts w:hint="eastAsia"/>
          <w:spacing w:val="-16"/>
          <w:position w:val="21"/>
          <w:lang w:val="en-US" w:eastAsia="zh-CN"/>
        </w:rPr>
        <w:t>H-O定理</w:t>
      </w:r>
      <w:r>
        <w:rPr>
          <w:rFonts w:hint="eastAsia"/>
          <w:spacing w:val="-16"/>
          <w:position w:val="21"/>
          <w:lang w:eastAsia="zh-CN"/>
        </w:rPr>
        <w:t>。</w:t>
      </w:r>
    </w:p>
    <w:p w14:paraId="3CEEE0F2">
      <w:pPr>
        <w:pStyle w:val="2"/>
        <w:spacing w:before="1" w:line="221" w:lineRule="auto"/>
        <w:ind w:left="12"/>
        <w:rPr>
          <w:rFonts w:hint="eastAsia" w:ascii="Times New Roman" w:hAnsi="Times New Roman" w:eastAsia="Times New Roman" w:cs="Times New Roman"/>
          <w:spacing w:val="-17"/>
          <w:position w:val="21"/>
          <w:lang w:val="en-US" w:eastAsia="zh-CN"/>
        </w:rPr>
      </w:pPr>
      <w:r>
        <w:rPr>
          <w:rFonts w:hint="eastAsia" w:ascii="Times New Roman" w:hAnsi="Times New Roman" w:eastAsia="Times New Roman" w:cs="Times New Roman"/>
          <w:spacing w:val="-17"/>
          <w:position w:val="21"/>
          <w:lang w:val="en-US" w:eastAsia="zh-CN"/>
        </w:rPr>
        <w:t xml:space="preserve">4.  </w:t>
      </w:r>
      <w:r>
        <w:rPr>
          <w:rFonts w:hint="eastAsia" w:ascii="Times New Roman" w:hAnsi="Times New Roman" w:eastAsia="仿宋" w:cs="Times New Roman"/>
          <w:spacing w:val="-17"/>
          <w:position w:val="21"/>
          <w:sz w:val="28"/>
          <w:lang w:val="en-US" w:eastAsia="zh-CN"/>
        </w:rPr>
        <w:t>了解短期与长期的区分，掌握特定要素模型，重点掌握短期与长期对收入分配的影响。</w:t>
      </w:r>
    </w:p>
    <w:p w14:paraId="086E5774">
      <w:pPr>
        <w:pStyle w:val="2"/>
        <w:spacing w:before="1" w:line="221" w:lineRule="auto"/>
        <w:ind w:left="12"/>
        <w:rPr>
          <w:rFonts w:hint="eastAsia" w:ascii="Times New Roman" w:hAnsi="Times New Roman" w:eastAsia="Times New Roman" w:cs="Times New Roman"/>
          <w:spacing w:val="-17"/>
          <w:position w:val="21"/>
          <w:lang w:val="en-US" w:eastAsia="zh-CN"/>
        </w:rPr>
      </w:pPr>
      <w:r>
        <w:rPr>
          <w:rFonts w:hint="eastAsia" w:ascii="Times New Roman" w:hAnsi="Times New Roman" w:eastAsia="Times New Roman" w:cs="Times New Roman"/>
          <w:spacing w:val="-17"/>
          <w:position w:val="21"/>
          <w:lang w:val="en-US" w:eastAsia="zh-CN"/>
        </w:rPr>
        <w:t xml:space="preserve">5.  </w:t>
      </w:r>
      <w:r>
        <w:rPr>
          <w:rFonts w:hint="eastAsia" w:ascii="Times New Roman" w:hAnsi="Times New Roman" w:eastAsia="仿宋" w:cs="Times New Roman"/>
          <w:spacing w:val="-17"/>
          <w:position w:val="21"/>
          <w:sz w:val="28"/>
          <w:lang w:val="en-US" w:eastAsia="zh-CN"/>
        </w:rPr>
        <w:t>了解重叠需求理论，掌握产品周期理论。</w:t>
      </w:r>
    </w:p>
    <w:p w14:paraId="6590CE7B">
      <w:pPr>
        <w:pStyle w:val="2"/>
        <w:spacing w:before="1" w:line="221" w:lineRule="auto"/>
        <w:ind w:left="12"/>
        <w:rPr>
          <w:rFonts w:hint="default" w:ascii="Times New Roman" w:hAnsi="Times New Roman" w:eastAsia="Times New Roman" w:cs="Times New Roman"/>
          <w:spacing w:val="-17"/>
          <w:position w:val="21"/>
          <w:lang w:val="en-US" w:eastAsia="zh-CN"/>
        </w:rPr>
      </w:pPr>
      <w:r>
        <w:rPr>
          <w:rFonts w:hint="eastAsia" w:ascii="Times New Roman" w:hAnsi="Times New Roman" w:eastAsia="Times New Roman" w:cs="Times New Roman"/>
          <w:spacing w:val="-17"/>
          <w:position w:val="21"/>
          <w:lang w:val="en-US" w:eastAsia="zh-CN"/>
        </w:rPr>
        <w:t xml:space="preserve">6.  </w:t>
      </w:r>
      <w:r>
        <w:rPr>
          <w:rFonts w:hint="eastAsia" w:ascii="Times New Roman" w:hAnsi="Times New Roman" w:eastAsia="仿宋" w:cs="Times New Roman"/>
          <w:spacing w:val="-17"/>
          <w:position w:val="21"/>
          <w:sz w:val="28"/>
          <w:lang w:val="en-US" w:eastAsia="zh-CN"/>
        </w:rPr>
        <w:t>了解外部规模经济与国际贸易、寡头垄断与国际贸易，掌握垄断竞争与国际贸易。</w:t>
      </w:r>
    </w:p>
    <w:p w14:paraId="239D1F2D">
      <w:pPr>
        <w:spacing w:before="227" w:line="219" w:lineRule="auto"/>
        <w:ind w:left="535"/>
        <w:rPr>
          <w:rFonts w:hint="eastAsia" w:ascii="黑体" w:hAnsi="黑体" w:eastAsia="黑体" w:cs="黑体"/>
          <w:sz w:val="28"/>
          <w:szCs w:val="28"/>
          <w:lang w:eastAsia="zh-CN"/>
        </w:rPr>
      </w:pPr>
      <w:r>
        <w:rPr>
          <w:rFonts w:ascii="黑体" w:hAnsi="黑体" w:eastAsia="黑体" w:cs="黑体"/>
          <w:spacing w:val="-15"/>
          <w:sz w:val="28"/>
          <w:szCs w:val="28"/>
        </w:rPr>
        <w:t>二、</w:t>
      </w:r>
      <w:r>
        <w:rPr>
          <w:rFonts w:hint="eastAsia" w:ascii="黑体" w:hAnsi="黑体" w:eastAsia="黑体" w:cs="黑体"/>
          <w:spacing w:val="-15"/>
          <w:sz w:val="28"/>
          <w:szCs w:val="28"/>
          <w:lang w:eastAsia="zh-CN"/>
        </w:rPr>
        <w:t>国际贸易政策理论</w:t>
      </w:r>
    </w:p>
    <w:p w14:paraId="37389CE3">
      <w:pPr>
        <w:pStyle w:val="2"/>
        <w:spacing w:before="232" w:line="216" w:lineRule="auto"/>
        <w:ind w:left="6"/>
        <w:rPr>
          <w:rFonts w:hint="eastAsia"/>
          <w:spacing w:val="-18"/>
          <w:position w:val="21"/>
          <w:lang w:eastAsia="zh-CN"/>
        </w:rPr>
      </w:pPr>
      <w:r>
        <w:rPr>
          <w:rFonts w:ascii="Times New Roman" w:hAnsi="Times New Roman" w:eastAsia="Times New Roman" w:cs="Times New Roman"/>
          <w:spacing w:val="-18"/>
          <w:position w:val="21"/>
        </w:rPr>
        <w:t>1</w:t>
      </w:r>
      <w:r>
        <w:rPr>
          <w:spacing w:val="-18"/>
          <w:position w:val="21"/>
        </w:rPr>
        <w:t>．</w:t>
      </w:r>
      <w:r>
        <w:rPr>
          <w:rFonts w:hint="eastAsia"/>
          <w:spacing w:val="-18"/>
          <w:position w:val="21"/>
          <w:lang w:eastAsia="zh-CN"/>
        </w:rPr>
        <w:t>了解其他非关税壁垒，掌握关税、配额、出口补贴、倾销与反倾销，重点掌握关税的效应、有效保护率与关税结构。</w:t>
      </w:r>
    </w:p>
    <w:p w14:paraId="6A81A0FD">
      <w:pPr>
        <w:pStyle w:val="2"/>
        <w:spacing w:before="232" w:line="216" w:lineRule="auto"/>
        <w:ind w:left="6"/>
      </w:pPr>
      <w:r>
        <w:rPr>
          <w:rFonts w:ascii="Times New Roman" w:hAnsi="Times New Roman" w:eastAsia="Times New Roman" w:cs="Times New Roman"/>
          <w:spacing w:val="-19"/>
        </w:rPr>
        <w:t>2</w:t>
      </w:r>
      <w:r>
        <w:rPr>
          <w:spacing w:val="-19"/>
        </w:rPr>
        <w:t>．</w:t>
      </w:r>
      <w:r>
        <w:rPr>
          <w:spacing w:val="-69"/>
        </w:rPr>
        <w:t xml:space="preserve"> </w:t>
      </w:r>
      <w:r>
        <w:rPr>
          <w:spacing w:val="-19"/>
        </w:rPr>
        <w:t>了解</w:t>
      </w:r>
      <w:r>
        <w:rPr>
          <w:rFonts w:hint="eastAsia"/>
          <w:spacing w:val="-19"/>
          <w:lang w:eastAsia="zh-CN"/>
        </w:rPr>
        <w:t>贸易政策的政治经济学，掌握最佳关税、幼稚产业理论、战略性贸易政策。</w:t>
      </w:r>
    </w:p>
    <w:p w14:paraId="7A6A58BC">
      <w:pPr>
        <w:pStyle w:val="2"/>
        <w:spacing w:before="231" w:line="217" w:lineRule="auto"/>
        <w:rPr>
          <w:rFonts w:hint="eastAsia"/>
          <w:spacing w:val="-15"/>
          <w:lang w:eastAsia="zh-CN"/>
        </w:rPr>
      </w:pPr>
      <w:r>
        <w:rPr>
          <w:rFonts w:ascii="Times New Roman" w:hAnsi="Times New Roman" w:eastAsia="Times New Roman" w:cs="Times New Roman"/>
          <w:spacing w:val="-15"/>
        </w:rPr>
        <w:t>3</w:t>
      </w:r>
      <w:r>
        <w:rPr>
          <w:spacing w:val="-15"/>
        </w:rPr>
        <w:t>．</w:t>
      </w:r>
      <w:r>
        <w:rPr>
          <w:rFonts w:hint="eastAsia"/>
          <w:spacing w:val="-15"/>
          <w:lang w:eastAsia="zh-CN"/>
        </w:rPr>
        <w:t>了解经济一体化的主要组织形式，掌握关税同盟理论。</w:t>
      </w:r>
    </w:p>
    <w:p w14:paraId="760BCBFD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32" w:line="360" w:lineRule="auto"/>
        <w:ind w:left="6"/>
        <w:textAlignment w:val="baseline"/>
        <w:rPr>
          <w:rFonts w:hint="default"/>
          <w:spacing w:val="-19"/>
          <w:lang w:val="en-US" w:eastAsia="zh-CN"/>
        </w:rPr>
      </w:pPr>
      <w:r>
        <w:rPr>
          <w:rFonts w:hint="eastAsia" w:ascii="Times New Roman" w:hAnsi="Times New Roman" w:eastAsia="Times New Roman" w:cs="Times New Roman"/>
          <w:spacing w:val="-15"/>
          <w:lang w:val="en-US" w:eastAsia="zh-CN"/>
        </w:rPr>
        <w:t xml:space="preserve">4.  </w:t>
      </w:r>
      <w:r>
        <w:rPr>
          <w:rFonts w:hint="eastAsia"/>
          <w:spacing w:val="-19"/>
          <w:lang w:val="en-US" w:eastAsia="zh-CN"/>
        </w:rPr>
        <w:t>了解发达国家的贸易政策、多边贸易体制的发展、区域经济一体化的发展，掌握发展中国家的贸易政策。</w:t>
      </w:r>
    </w:p>
    <w:p w14:paraId="40FF0AD7">
      <w:pPr>
        <w:spacing w:line="349" w:lineRule="auto"/>
        <w:rPr>
          <w:rFonts w:ascii="Arial"/>
          <w:sz w:val="21"/>
        </w:rPr>
      </w:pPr>
    </w:p>
    <w:p w14:paraId="13DBF367">
      <w:pPr>
        <w:spacing w:before="104" w:line="198" w:lineRule="auto"/>
        <w:ind w:firstLine="2928" w:firstLineChars="1200"/>
        <w:rPr>
          <w:rFonts w:ascii="华文中宋" w:hAnsi="华文中宋" w:eastAsia="华文中宋" w:cs="华文中宋"/>
          <w:color w:val="191919"/>
          <w:spacing w:val="-18"/>
          <w:sz w:val="28"/>
          <w:szCs w:val="28"/>
        </w:rPr>
      </w:pPr>
    </w:p>
    <w:p w14:paraId="74DE0736">
      <w:pPr>
        <w:spacing w:before="104" w:line="198" w:lineRule="auto"/>
        <w:ind w:firstLine="2928" w:firstLineChars="1200"/>
        <w:rPr>
          <w:rFonts w:ascii="华文中宋" w:hAnsi="华文中宋" w:eastAsia="华文中宋" w:cs="华文中宋"/>
          <w:color w:val="191919"/>
          <w:spacing w:val="-18"/>
          <w:sz w:val="28"/>
          <w:szCs w:val="28"/>
        </w:rPr>
      </w:pPr>
    </w:p>
    <w:p w14:paraId="3294B2F4">
      <w:pPr>
        <w:spacing w:before="104" w:line="198" w:lineRule="auto"/>
        <w:ind w:firstLine="2928" w:firstLineChars="1200"/>
        <w:rPr>
          <w:rFonts w:ascii="华文中宋" w:hAnsi="华文中宋" w:eastAsia="华文中宋" w:cs="华文中宋"/>
          <w:color w:val="191919"/>
          <w:spacing w:val="-18"/>
          <w:sz w:val="28"/>
          <w:szCs w:val="28"/>
        </w:rPr>
      </w:pPr>
    </w:p>
    <w:p w14:paraId="2C262B8C">
      <w:pPr>
        <w:spacing w:before="104" w:line="198" w:lineRule="auto"/>
        <w:ind w:firstLine="2928" w:firstLineChars="1200"/>
        <w:rPr>
          <w:rFonts w:ascii="华文中宋" w:hAnsi="华文中宋" w:eastAsia="华文中宋" w:cs="华文中宋"/>
          <w:color w:val="191919"/>
          <w:spacing w:val="-18"/>
          <w:sz w:val="28"/>
          <w:szCs w:val="28"/>
        </w:rPr>
      </w:pPr>
    </w:p>
    <w:p w14:paraId="5356D88B">
      <w:pPr>
        <w:spacing w:before="104" w:line="198" w:lineRule="auto"/>
        <w:ind w:firstLine="2928" w:firstLineChars="1200"/>
        <w:rPr>
          <w:rFonts w:ascii="华文中宋" w:hAnsi="华文中宋" w:eastAsia="华文中宋" w:cs="华文中宋"/>
          <w:color w:val="191919"/>
          <w:spacing w:val="-18"/>
          <w:sz w:val="28"/>
          <w:szCs w:val="28"/>
        </w:rPr>
      </w:pPr>
    </w:p>
    <w:p w14:paraId="2010C4D3">
      <w:pPr>
        <w:spacing w:before="104" w:line="198" w:lineRule="auto"/>
        <w:ind w:firstLine="2928" w:firstLineChars="1200"/>
        <w:rPr>
          <w:rFonts w:ascii="华文中宋" w:hAnsi="华文中宋" w:eastAsia="华文中宋" w:cs="华文中宋"/>
          <w:sz w:val="28"/>
          <w:szCs w:val="28"/>
        </w:rPr>
      </w:pPr>
      <w:r>
        <w:rPr>
          <w:rFonts w:ascii="华文中宋" w:hAnsi="华文中宋" w:eastAsia="华文中宋" w:cs="华文中宋"/>
          <w:color w:val="191919"/>
          <w:spacing w:val="-18"/>
          <w:sz w:val="28"/>
          <w:szCs w:val="28"/>
        </w:rPr>
        <w:t>Ⅱ</w:t>
      </w:r>
      <w:r>
        <w:rPr>
          <w:rFonts w:ascii="华文中宋" w:hAnsi="华文中宋" w:eastAsia="华文中宋" w:cs="华文中宋"/>
          <w:color w:val="191919"/>
          <w:spacing w:val="-52"/>
          <w:sz w:val="28"/>
          <w:szCs w:val="28"/>
        </w:rPr>
        <w:t xml:space="preserve"> </w:t>
      </w:r>
      <w:r>
        <w:rPr>
          <w:rFonts w:ascii="华文中宋" w:hAnsi="华文中宋" w:eastAsia="华文中宋" w:cs="华文中宋"/>
          <w:spacing w:val="-18"/>
          <w:sz w:val="28"/>
          <w:szCs w:val="28"/>
        </w:rPr>
        <w:t>.  考试形式与试卷结构</w:t>
      </w:r>
    </w:p>
    <w:p w14:paraId="43587332">
      <w:pPr>
        <w:spacing w:line="333" w:lineRule="auto"/>
        <w:rPr>
          <w:rFonts w:ascii="Arial"/>
          <w:sz w:val="21"/>
        </w:rPr>
      </w:pPr>
    </w:p>
    <w:p w14:paraId="50311992">
      <w:pPr>
        <w:spacing w:line="333" w:lineRule="auto"/>
        <w:rPr>
          <w:rFonts w:ascii="Arial"/>
          <w:sz w:val="21"/>
        </w:rPr>
      </w:pPr>
    </w:p>
    <w:p w14:paraId="12FC9C3F">
      <w:pPr>
        <w:spacing w:before="91" w:line="219" w:lineRule="auto"/>
        <w:ind w:left="538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4"/>
          <w:sz w:val="28"/>
          <w:szCs w:val="28"/>
        </w:rPr>
        <w:t>一、考试形式</w:t>
      </w:r>
    </w:p>
    <w:p w14:paraId="32E7FA51">
      <w:pPr>
        <w:pStyle w:val="2"/>
        <w:spacing w:before="228" w:line="559" w:lineRule="exact"/>
        <w:ind w:left="531"/>
      </w:pPr>
      <w:r>
        <w:rPr>
          <w:spacing w:val="-16"/>
          <w:position w:val="21"/>
        </w:rPr>
        <w:t>考试采用闭卷、笔试形式。试卷满分</w:t>
      </w:r>
      <w:r>
        <w:rPr>
          <w:spacing w:val="-53"/>
          <w:position w:val="21"/>
        </w:rPr>
        <w:t xml:space="preserve"> </w:t>
      </w:r>
      <w:r>
        <w:rPr>
          <w:rFonts w:hint="eastAsia" w:ascii="Times New Roman" w:hAnsi="Times New Roman" w:eastAsia="宋体" w:cs="Times New Roman"/>
          <w:spacing w:val="-16"/>
          <w:position w:val="21"/>
          <w:lang w:val="en-US" w:eastAsia="zh-CN"/>
        </w:rPr>
        <w:t>20</w:t>
      </w:r>
      <w:r>
        <w:rPr>
          <w:rFonts w:ascii="Times New Roman" w:hAnsi="Times New Roman" w:eastAsia="Times New Roman" w:cs="Times New Roman"/>
          <w:spacing w:val="-16"/>
          <w:position w:val="21"/>
        </w:rPr>
        <w:t xml:space="preserve">0 </w:t>
      </w:r>
      <w:r>
        <w:rPr>
          <w:spacing w:val="-16"/>
          <w:position w:val="21"/>
        </w:rPr>
        <w:t>分，考试时间</w:t>
      </w:r>
      <w:r>
        <w:rPr>
          <w:spacing w:val="-59"/>
          <w:position w:val="21"/>
        </w:rPr>
        <w:t xml:space="preserve"> </w:t>
      </w:r>
      <w:r>
        <w:rPr>
          <w:rFonts w:ascii="Times New Roman" w:hAnsi="Times New Roman" w:eastAsia="Times New Roman" w:cs="Times New Roman"/>
          <w:spacing w:val="-16"/>
          <w:position w:val="21"/>
        </w:rPr>
        <w:t>1</w:t>
      </w:r>
      <w:r>
        <w:rPr>
          <w:rFonts w:hint="eastAsia" w:ascii="Times New Roman" w:hAnsi="Times New Roman" w:eastAsia="宋体" w:cs="Times New Roman"/>
          <w:spacing w:val="-16"/>
          <w:position w:val="21"/>
          <w:lang w:val="en-US" w:eastAsia="zh-CN"/>
        </w:rPr>
        <w:t>5</w:t>
      </w:r>
      <w:r>
        <w:rPr>
          <w:rFonts w:ascii="Times New Roman" w:hAnsi="Times New Roman" w:eastAsia="Times New Roman" w:cs="Times New Roman"/>
          <w:spacing w:val="-16"/>
          <w:position w:val="21"/>
        </w:rPr>
        <w:t xml:space="preserve">0 </w:t>
      </w:r>
      <w:r>
        <w:rPr>
          <w:spacing w:val="-16"/>
          <w:position w:val="21"/>
        </w:rPr>
        <w:t>分钟。</w:t>
      </w:r>
    </w:p>
    <w:p w14:paraId="3003BDC1">
      <w:pPr>
        <w:spacing w:before="1" w:line="218" w:lineRule="auto"/>
        <w:ind w:left="538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4"/>
          <w:sz w:val="28"/>
          <w:szCs w:val="28"/>
        </w:rPr>
        <w:t>二、试卷结构</w:t>
      </w:r>
    </w:p>
    <w:p w14:paraId="4BEC4F5B">
      <w:pPr>
        <w:pStyle w:val="2"/>
        <w:spacing w:before="231" w:line="217" w:lineRule="auto"/>
        <w:rPr>
          <w:rFonts w:hint="eastAsia"/>
          <w:spacing w:val="-15"/>
          <w:lang w:val="en-US" w:eastAsia="zh-CN"/>
        </w:rPr>
      </w:pPr>
      <w:r>
        <w:rPr>
          <w:rFonts w:hint="eastAsia"/>
          <w:spacing w:val="-17"/>
          <w:position w:val="21"/>
          <w:lang w:val="en-US" w:eastAsia="zh-CN"/>
        </w:rPr>
        <w:t xml:space="preserve">    </w:t>
      </w:r>
      <w:r>
        <w:rPr>
          <w:rFonts w:hint="eastAsia"/>
          <w:spacing w:val="-15"/>
          <w:lang w:val="en-US" w:eastAsia="zh-CN"/>
        </w:rPr>
        <w:t xml:space="preserve"> </w:t>
      </w:r>
      <w:r>
        <w:rPr>
          <w:rFonts w:hint="eastAsia"/>
          <w:spacing w:val="-15"/>
          <w:lang w:eastAsia="zh-CN"/>
        </w:rPr>
        <w:t>试卷包括名词解释</w:t>
      </w:r>
      <w:r>
        <w:rPr>
          <w:rFonts w:hint="eastAsia"/>
          <w:spacing w:val="-15"/>
          <w:lang w:val="en-US" w:eastAsia="zh-CN"/>
        </w:rPr>
        <w:t>30分</w:t>
      </w:r>
      <w:r>
        <w:rPr>
          <w:rFonts w:hint="eastAsia"/>
          <w:spacing w:val="-15"/>
          <w:lang w:eastAsia="zh-CN"/>
        </w:rPr>
        <w:t>、单项选择题</w:t>
      </w:r>
      <w:r>
        <w:rPr>
          <w:rFonts w:hint="eastAsia"/>
          <w:spacing w:val="-15"/>
          <w:lang w:val="en-US" w:eastAsia="zh-CN"/>
        </w:rPr>
        <w:t>30分</w:t>
      </w:r>
      <w:r>
        <w:rPr>
          <w:rFonts w:hint="eastAsia"/>
          <w:spacing w:val="-15"/>
          <w:lang w:eastAsia="zh-CN"/>
        </w:rPr>
        <w:t>、多项选择题</w:t>
      </w:r>
      <w:r>
        <w:rPr>
          <w:rFonts w:hint="eastAsia"/>
          <w:spacing w:val="-15"/>
          <w:lang w:val="en-US" w:eastAsia="zh-CN"/>
        </w:rPr>
        <w:t>30分</w:t>
      </w:r>
      <w:r>
        <w:rPr>
          <w:rFonts w:hint="eastAsia"/>
          <w:spacing w:val="-15"/>
          <w:lang w:eastAsia="zh-CN"/>
        </w:rPr>
        <w:t>、判断题</w:t>
      </w:r>
      <w:r>
        <w:rPr>
          <w:rFonts w:hint="eastAsia"/>
          <w:spacing w:val="-15"/>
          <w:lang w:val="en-US" w:eastAsia="zh-CN"/>
        </w:rPr>
        <w:t>20分、</w:t>
      </w:r>
    </w:p>
    <w:p w14:paraId="70C08DD1">
      <w:pPr>
        <w:pStyle w:val="2"/>
        <w:spacing w:before="231" w:line="217" w:lineRule="auto"/>
        <w:rPr>
          <w:rFonts w:hint="default"/>
          <w:spacing w:val="-15"/>
          <w:lang w:val="en-US" w:eastAsia="zh-CN"/>
        </w:rPr>
        <w:sectPr>
          <w:footerReference r:id="rId5" w:type="default"/>
          <w:pgSz w:w="11907" w:h="16839"/>
          <w:pgMar w:top="400" w:right="1624" w:bottom="1159" w:left="1761" w:header="0" w:footer="991" w:gutter="0"/>
          <w:cols w:space="720" w:num="1"/>
        </w:sectPr>
      </w:pPr>
      <w:r>
        <w:rPr>
          <w:rFonts w:hint="eastAsia"/>
          <w:spacing w:val="-15"/>
          <w:lang w:eastAsia="zh-CN"/>
        </w:rPr>
        <w:t>简答题</w:t>
      </w:r>
      <w:r>
        <w:rPr>
          <w:rFonts w:hint="eastAsia"/>
          <w:spacing w:val="-15"/>
          <w:lang w:val="en-US" w:eastAsia="zh-CN"/>
        </w:rPr>
        <w:t>40分</w:t>
      </w:r>
      <w:r>
        <w:rPr>
          <w:rFonts w:hint="eastAsia"/>
          <w:spacing w:val="-15"/>
          <w:lang w:eastAsia="zh-CN"/>
        </w:rPr>
        <w:t>、计算题</w:t>
      </w:r>
      <w:r>
        <w:rPr>
          <w:rFonts w:hint="eastAsia"/>
          <w:spacing w:val="-15"/>
          <w:lang w:val="en-US" w:eastAsia="zh-CN"/>
        </w:rPr>
        <w:t>20分</w:t>
      </w:r>
      <w:r>
        <w:rPr>
          <w:rFonts w:hint="eastAsia"/>
          <w:spacing w:val="-15"/>
          <w:lang w:eastAsia="zh-CN"/>
        </w:rPr>
        <w:t>、作图分析题</w:t>
      </w:r>
      <w:r>
        <w:rPr>
          <w:rFonts w:hint="eastAsia"/>
          <w:spacing w:val="-15"/>
          <w:lang w:val="en-US" w:eastAsia="zh-CN"/>
        </w:rPr>
        <w:t>30分。</w:t>
      </w:r>
    </w:p>
    <w:p w14:paraId="5F1BE820">
      <w:pPr>
        <w:spacing w:before="104" w:line="200" w:lineRule="auto"/>
        <w:jc w:val="center"/>
        <w:rPr>
          <w:rFonts w:hint="eastAsia" w:ascii="华文中宋" w:hAnsi="华文中宋" w:eastAsia="华文中宋" w:cs="华文中宋"/>
          <w:spacing w:val="-18"/>
          <w:sz w:val="28"/>
          <w:szCs w:val="28"/>
          <w:lang w:val="en-US" w:eastAsia="zh-CN"/>
        </w:rPr>
      </w:pPr>
      <w:r>
        <w:rPr>
          <w:rFonts w:ascii="华文中宋" w:hAnsi="华文中宋" w:eastAsia="华文中宋" w:cs="华文中宋"/>
          <w:spacing w:val="-18"/>
          <w:sz w:val="28"/>
          <w:szCs w:val="28"/>
        </w:rPr>
        <w:t>Ⅲ.</w:t>
      </w:r>
      <w:r>
        <w:rPr>
          <w:rFonts w:ascii="华文中宋" w:hAnsi="华文中宋" w:eastAsia="华文中宋" w:cs="华文中宋"/>
          <w:spacing w:val="6"/>
          <w:sz w:val="28"/>
          <w:szCs w:val="28"/>
        </w:rPr>
        <w:t xml:space="preserve">  </w:t>
      </w:r>
      <w:r>
        <w:rPr>
          <w:rFonts w:hint="eastAsia" w:ascii="华文中宋" w:hAnsi="华文中宋" w:eastAsia="华文中宋" w:cs="华文中宋"/>
          <w:spacing w:val="-18"/>
          <w:sz w:val="28"/>
          <w:szCs w:val="28"/>
          <w:lang w:val="en-US" w:eastAsia="zh-CN"/>
        </w:rPr>
        <w:t>参考教材</w:t>
      </w:r>
    </w:p>
    <w:p w14:paraId="19E17669">
      <w:pPr>
        <w:spacing w:before="104" w:line="200" w:lineRule="auto"/>
        <w:rPr>
          <w:rFonts w:hint="default" w:ascii="华文中宋" w:hAnsi="华文中宋" w:eastAsia="华文中宋" w:cs="华文中宋"/>
          <w:color w:val="000000" w:themeColor="text1"/>
          <w:spacing w:val="-18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华文中宋" w:hAnsi="华文中宋" w:eastAsia="华文中宋" w:cs="华文中宋"/>
          <w:color w:val="000000" w:themeColor="text1"/>
          <w:spacing w:val="-18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《</w:t>
      </w:r>
      <w:r>
        <w:rPr>
          <w:rFonts w:hint="eastAsia" w:ascii="仿宋" w:hAnsi="仿宋" w:eastAsia="仿宋" w:cs="仿宋"/>
          <w:snapToGrid w:val="0"/>
          <w:color w:val="000000"/>
          <w:spacing w:val="-15"/>
          <w:kern w:val="0"/>
          <w:sz w:val="28"/>
          <w:szCs w:val="28"/>
          <w:lang w:val="en-US" w:eastAsia="zh-CN" w:bidi="ar-SA"/>
        </w:rPr>
        <w:t>国际经济学》（第四版）李坤望主编，高等教育出版社</w:t>
      </w:r>
    </w:p>
    <w:p w14:paraId="5FD86089">
      <w:pPr>
        <w:spacing w:line="291" w:lineRule="auto"/>
        <w:rPr>
          <w:rFonts w:ascii="Arial"/>
          <w:sz w:val="21"/>
        </w:rPr>
      </w:pPr>
    </w:p>
    <w:p w14:paraId="5E4FA1F9">
      <w:pPr>
        <w:spacing w:line="291" w:lineRule="auto"/>
        <w:rPr>
          <w:rFonts w:ascii="Arial"/>
          <w:sz w:val="21"/>
        </w:rPr>
      </w:pPr>
    </w:p>
    <w:sectPr>
      <w:footerReference r:id="rId6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6120FDA">
    <w:pPr>
      <w:spacing w:line="161" w:lineRule="auto"/>
      <w:ind w:left="4026"/>
      <w:rPr>
        <w:rFonts w:ascii="宋体" w:hAnsi="宋体" w:eastAsia="宋体" w:cs="宋体"/>
        <w:sz w:val="18"/>
        <w:szCs w:val="18"/>
      </w:rPr>
    </w:pPr>
    <w:r>
      <w:rPr>
        <w:rFonts w:ascii="宋体" w:hAnsi="宋体" w:eastAsia="宋体" w:cs="宋体"/>
        <w:spacing w:val="-2"/>
        <w:sz w:val="18"/>
        <w:szCs w:val="18"/>
      </w:rPr>
      <w:t>—</w:t>
    </w:r>
    <w:r>
      <w:rPr>
        <w:rFonts w:hint="eastAsia" w:ascii="宋体" w:hAnsi="宋体" w:eastAsia="宋体" w:cs="宋体"/>
        <w:spacing w:val="-2"/>
        <w:sz w:val="18"/>
        <w:szCs w:val="18"/>
        <w:lang w:val="en-US" w:eastAsia="zh-CN"/>
      </w:rPr>
      <w:t>2</w:t>
    </w:r>
    <w:r>
      <w:rPr>
        <w:rFonts w:ascii="宋体" w:hAnsi="宋体" w:eastAsia="宋体" w:cs="宋体"/>
        <w:spacing w:val="-2"/>
        <w:sz w:val="18"/>
        <w:szCs w:val="18"/>
      </w:rPr>
      <w:t>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8103557">
    <w:pPr>
      <w:spacing w:line="160" w:lineRule="auto"/>
      <w:ind w:left="4024"/>
      <w:rPr>
        <w:rFonts w:ascii="宋体" w:hAnsi="宋体" w:eastAsia="宋体" w:cs="宋体"/>
        <w:sz w:val="18"/>
        <w:szCs w:val="18"/>
      </w:rPr>
    </w:pPr>
    <w:r>
      <w:rPr>
        <w:rFonts w:ascii="宋体" w:hAnsi="宋体" w:eastAsia="宋体" w:cs="宋体"/>
        <w:spacing w:val="-2"/>
        <w:sz w:val="18"/>
        <w:szCs w:val="18"/>
      </w:rPr>
      <w:t>—</w:t>
    </w:r>
    <w:r>
      <w:rPr>
        <w:rFonts w:hint="eastAsia" w:ascii="宋体" w:hAnsi="宋体" w:eastAsia="宋体" w:cs="宋体"/>
        <w:spacing w:val="-2"/>
        <w:sz w:val="18"/>
        <w:szCs w:val="18"/>
        <w:lang w:val="en-US" w:eastAsia="zh-CN"/>
      </w:rPr>
      <w:t>3</w:t>
    </w:r>
    <w:r>
      <w:rPr>
        <w:rFonts w:ascii="宋体" w:hAnsi="宋体" w:eastAsia="宋体" w:cs="宋体"/>
        <w:spacing w:val="-2"/>
        <w:sz w:val="18"/>
        <w:szCs w:val="18"/>
      </w:rPr>
      <w:t>—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YzMmZiZWY5ZjNlZmJkN2JjNmQ0ZGFlYWZjZDE4OTIifQ=="/>
  </w:docVars>
  <w:rsids>
    <w:rsidRoot w:val="43544D35"/>
    <w:rsid w:val="11951CD8"/>
    <w:rsid w:val="1EF54993"/>
    <w:rsid w:val="23EE759D"/>
    <w:rsid w:val="2D972956"/>
    <w:rsid w:val="3BC136BC"/>
    <w:rsid w:val="3CAB518E"/>
    <w:rsid w:val="3CBF7EF1"/>
    <w:rsid w:val="3E194D79"/>
    <w:rsid w:val="43544D35"/>
    <w:rsid w:val="44A20C52"/>
    <w:rsid w:val="61A8587F"/>
    <w:rsid w:val="64A74651"/>
    <w:rsid w:val="6A2F1733"/>
    <w:rsid w:val="6AC50750"/>
    <w:rsid w:val="6F0D3634"/>
    <w:rsid w:val="71394350"/>
    <w:rsid w:val="71E600ED"/>
    <w:rsid w:val="77343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semiHidden/>
    <w:qFormat/>
    <w:uiPriority w:val="0"/>
    <w:rPr>
      <w:rFonts w:ascii="仿宋" w:hAnsi="仿宋" w:eastAsia="仿宋" w:cs="仿宋"/>
      <w:sz w:val="28"/>
      <w:szCs w:val="28"/>
      <w:lang w:val="en-US" w:eastAsia="en-US" w:bidi="ar-SA"/>
    </w:rPr>
  </w:style>
  <w:style w:type="paragraph" w:styleId="3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644</Words>
  <Characters>666</Characters>
  <Lines>0</Lines>
  <Paragraphs>0</Paragraphs>
  <TotalTime>45</TotalTime>
  <ScaleCrop>false</ScaleCrop>
  <LinksUpToDate>false</LinksUpToDate>
  <CharactersWithSpaces>693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2024-01-12T11:06:00Z</dcterms:created>
  <dc:creator>WPS_1639550449</dc:creator>
  <cp:lastModifiedBy>芙蓉学院理学系3</cp:lastModifiedBy>
  <dcterms:modified xsi:type="dcterms:W3CDTF">2025-02-18T02:39:13Z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2E008C8967154771AA1EDD7A00184A8A_11</vt:lpwstr>
  </property>
  <property fmtid="{D5CDD505-2E9C-101B-9397-08002B2CF9AE}" pid="4" name="KSOTemplateDocerSaveRecord">
    <vt:lpwstr>eyJoZGlkIjoiZTRjODNhMmU0YjRmNjZmNTUxY2Y5ZmY1ZGViYzAwZGMifQ==</vt:lpwstr>
  </property>
</Properties>
</file>