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71B81" w14:textId="77777777" w:rsidR="00664A28" w:rsidRDefault="00000000">
      <w:pPr>
        <w:shd w:val="clear" w:color="auto" w:fill="FFFFFF"/>
        <w:spacing w:afterLines="100" w:after="312"/>
        <w:jc w:val="center"/>
        <w:rPr>
          <w:rFonts w:ascii="宋体" w:eastAsia="宋体" w:hAnsi="宋体" w:cs="方正小标宋简体" w:hint="eastAsia"/>
          <w:b/>
          <w:bCs/>
          <w:sz w:val="36"/>
          <w:szCs w:val="36"/>
        </w:rPr>
      </w:pP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中南林业科技大学涉外学院</w:t>
      </w:r>
    </w:p>
    <w:p w14:paraId="523610C2" w14:textId="77777777" w:rsidR="00664A28" w:rsidRDefault="00000000">
      <w:pPr>
        <w:shd w:val="clear" w:color="auto" w:fill="FFFFFF"/>
        <w:spacing w:afterLines="100" w:after="312"/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>
        <w:rPr>
          <w:rFonts w:ascii="宋体" w:eastAsia="宋体" w:hAnsi="宋体" w:cs="方正小标宋简体"/>
          <w:b/>
          <w:bCs/>
          <w:sz w:val="36"/>
          <w:szCs w:val="36"/>
        </w:rPr>
        <w:t>202</w:t>
      </w: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5年“专升本”《金融学》课程考试大纲</w:t>
      </w:r>
    </w:p>
    <w:p w14:paraId="7F2DC2C2" w14:textId="77777777" w:rsidR="00664A28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3F89F302" w14:textId="77777777" w:rsidR="00664A28" w:rsidRDefault="00000000">
      <w:pPr>
        <w:pStyle w:val="a7"/>
        <w:widowControl/>
        <w:shd w:val="clear" w:color="auto" w:fill="FFFFFF"/>
        <w:spacing w:line="560" w:lineRule="exact"/>
        <w:ind w:firstLine="480"/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通过考试检测学生是否比较完整和深入的掌握了金融学的基本概念、理论、知识和研究方法，包括货币、信用、利息、外汇、金融市场、金融机构、货币需求、货币供给等金融学领域重要而基本的问题，了解货币制度、商业银行的历史发展进程以及展望人类金融活动的未来发展趋势，掌握货币供给运行机制，从货币供求、社会总供求、宏观经济政策等方面剖析金融与经济发展的关系，把握我国货币政策、金融体制改革的成就和深化改革的要求。</w:t>
      </w:r>
    </w:p>
    <w:p w14:paraId="15DBC812" w14:textId="77777777" w:rsidR="00664A28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1509A08B" w14:textId="77777777" w:rsidR="00664A28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（一）考试方式：闭卷笔试</w:t>
      </w:r>
    </w:p>
    <w:p w14:paraId="28D6433F" w14:textId="77777777" w:rsidR="00664A28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（二）考试时间：考试时间为150分钟</w:t>
      </w:r>
    </w:p>
    <w:p w14:paraId="6CF357A9" w14:textId="77777777" w:rsidR="00664A28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hint="eastAsia"/>
          <w:color w:val="FF0000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三）题型比例：总分值为200分。考试题型主要为：单项选择题60分（30个×2分）、判断题20分（10个×2分）、名词解释题30分（6个×5分）、简答题50分（5个×10分）、计算题20分（2个×10分）、论述题20分（1个×20分）。</w:t>
      </w:r>
    </w:p>
    <w:p w14:paraId="7B59C970" w14:textId="77777777" w:rsidR="00664A28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54296645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（一）货币</w:t>
      </w:r>
    </w:p>
    <w:p w14:paraId="5B4085BE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考试内容：货币的产生、发展；货币的含义、职能；货币量层次划分、狭义货币供给、准货币。</w:t>
      </w:r>
    </w:p>
    <w:p w14:paraId="4C4B1AA8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</w:t>
      </w:r>
      <w:proofErr w:type="gramStart"/>
      <w:r>
        <w:rPr>
          <w:rFonts w:ascii="仿宋" w:eastAsia="仿宋" w:hAnsi="仿宋" w:cs="仿宋" w:hint="eastAsia"/>
          <w:kern w:val="0"/>
          <w:sz w:val="24"/>
          <w:szCs w:val="24"/>
        </w:rPr>
        <w:t>货币货币</w:t>
      </w:r>
      <w:proofErr w:type="gramEnd"/>
      <w:r>
        <w:rPr>
          <w:rFonts w:ascii="仿宋" w:eastAsia="仿宋" w:hAnsi="仿宋" w:cs="仿宋" w:hint="eastAsia"/>
          <w:kern w:val="0"/>
          <w:sz w:val="24"/>
          <w:szCs w:val="24"/>
        </w:rPr>
        <w:t>发展历程、含义、职能、我国货币量层次划分的标准和内容。</w:t>
      </w:r>
    </w:p>
    <w:p w14:paraId="0DA7B297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(二）货币制度</w:t>
      </w:r>
    </w:p>
    <w:p w14:paraId="0770029D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考试内容：货币制度的构成要素及演变；中国的货币制度；国际货币制度。</w:t>
      </w:r>
    </w:p>
    <w:p w14:paraId="5D72D90D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考试要求：掌握货币制度构成要素、货币制度演变、各种货币制度的特点、格雷欣法则、布雷顿森林体系、人民币国际化。</w:t>
      </w:r>
    </w:p>
    <w:p w14:paraId="4C87849D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（三）信用、利息与利率</w:t>
      </w:r>
    </w:p>
    <w:p w14:paraId="0830D300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考试内容：信用的产生、发展、含义、特征；利息的含义、本质；利率的概念、分类、计息方法；现代信用形式；货币的时间价值；利率的决定因素；我国利率体系发展历史。</w:t>
      </w:r>
    </w:p>
    <w:p w14:paraId="64438708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考试要求：掌握现代信用形式；了解商业信用和银行信用；掌握单利、复利、现值、终值的计算；流动性偏好利率理论；了解利率市场化。</w:t>
      </w:r>
    </w:p>
    <w:p w14:paraId="4DB16679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（四）外汇与汇率</w:t>
      </w:r>
    </w:p>
    <w:p w14:paraId="643C8891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考试内容：外汇、汇率概念；汇率标价方法；汇率制度演变；汇率与币值、汇率与利率的关系；汇率的决定和影响因素；外汇风险和防范。</w:t>
      </w:r>
    </w:p>
    <w:p w14:paraId="570E9D6D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考试要求：外汇、汇率涵义；汇率的直接、间接标价法；影响汇率的主要因素；汇率变动的影响；外汇风险类型。</w:t>
      </w:r>
    </w:p>
    <w:p w14:paraId="29304AEF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（五）金融市场</w:t>
      </w:r>
    </w:p>
    <w:p w14:paraId="4FCEC0ED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考试内容：金融市场的概念、构成要素、功能；货币市场、资本市场、金融衍生工具市场、投资基金、外汇市场基本概念。</w:t>
      </w:r>
    </w:p>
    <w:p w14:paraId="29BE2850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考试要求：掌握金融市场概念、构成要素、功能；理解货币市场及其各个子市场；掌握商业票据贴现价格的计算；了解资本市场、金融衍生工具市场。</w:t>
      </w:r>
    </w:p>
    <w:p w14:paraId="1F3AA9D9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（六）金融机构</w:t>
      </w:r>
    </w:p>
    <w:p w14:paraId="1787E0F3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考试内容：金融机构功能和类型；中国金融机构体系；国际金融机构。</w:t>
      </w:r>
    </w:p>
    <w:p w14:paraId="33220A45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考试要求：掌握金融机构功能；我国金融机构体系的构成。</w:t>
      </w:r>
    </w:p>
    <w:p w14:paraId="36D343C2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（七）商业银行</w:t>
      </w:r>
    </w:p>
    <w:p w14:paraId="6F7AA549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考试内容：商业银行的产生、发展；商业银行的性质、职能与类型；商业银行三大类业务、存款保险制度；商业银行的经营原则与管理理论。</w:t>
      </w:r>
    </w:p>
    <w:p w14:paraId="54597D81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考试要求：掌握商业银行性质、职能、三大业务、经营原则、存款保险制度内容。</w:t>
      </w:r>
    </w:p>
    <w:p w14:paraId="2A7D9983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（八）中央银行</w:t>
      </w:r>
    </w:p>
    <w:p w14:paraId="30D18EC7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考试内容：中央银行产生的客观要求；中央银行的性质、职能和独立性问题；中央银行业务。</w:t>
      </w:r>
    </w:p>
    <w:p w14:paraId="168864D6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考试要求：掌握中央银行产生客观要求、性质、职能、独立性、业务。</w:t>
      </w:r>
    </w:p>
    <w:p w14:paraId="45B73EBF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（九）货币需求</w:t>
      </w:r>
    </w:p>
    <w:p w14:paraId="66226202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考试内容：货币需求的含义，古典学派的货币需求理论，马克思的货币需求理论，</w:t>
      </w:r>
      <w:proofErr w:type="gramStart"/>
      <w:r>
        <w:rPr>
          <w:rFonts w:ascii="仿宋" w:eastAsia="仿宋" w:hAnsi="仿宋" w:cs="仿宋" w:hint="eastAsia"/>
          <w:kern w:val="0"/>
          <w:sz w:val="24"/>
          <w:szCs w:val="24"/>
        </w:rPr>
        <w:t>凯</w:t>
      </w:r>
      <w:proofErr w:type="gramEnd"/>
      <w:r>
        <w:rPr>
          <w:rFonts w:ascii="仿宋" w:eastAsia="仿宋" w:hAnsi="仿宋" w:cs="仿宋" w:hint="eastAsia"/>
          <w:kern w:val="0"/>
          <w:sz w:val="24"/>
          <w:szCs w:val="24"/>
        </w:rPr>
        <w:t>恩斯的货币需求理论，货币主义的货币需求理论。</w:t>
      </w:r>
    </w:p>
    <w:p w14:paraId="378DDAC5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考试要求：货币需求的含义；各货币需求理论的主要内容；费雪方程式与剑桥方程式的区别。</w:t>
      </w:r>
    </w:p>
    <w:p w14:paraId="1E093900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（十）货币供给</w:t>
      </w:r>
    </w:p>
    <w:p w14:paraId="18A740AE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考试内容：货币供给的含义，基础货币，原始存款，派生存款，现金漏损率，货币乘数。</w:t>
      </w:r>
    </w:p>
    <w:p w14:paraId="1CDCD213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考试要求：货币供给含义；存款货币的创造与紧缩过程；原始存款和派生存款；存款货币创造在量上的限制性因素；了解货币供给模型。</w:t>
      </w:r>
    </w:p>
    <w:p w14:paraId="1316A8A1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（十一）货币均衡</w:t>
      </w:r>
    </w:p>
    <w:p w14:paraId="0FD82D73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考试内容：货币均衡，货币均衡与社会总供求平衡，货币失衡。</w:t>
      </w:r>
    </w:p>
    <w:p w14:paraId="234FCB46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考试要求：货币均衡含义；货币均衡与社会总供求平衡；货币失衡原因。</w:t>
      </w:r>
    </w:p>
    <w:p w14:paraId="4A30B955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（十二）通货膨胀与通货紧缩</w:t>
      </w:r>
    </w:p>
    <w:p w14:paraId="16093578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考试内容：通货膨胀一般理论，通货膨胀成因与治理，通货紧缩及其理论。</w:t>
      </w:r>
    </w:p>
    <w:p w14:paraId="4CCC3108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考试要求：通货膨胀的含义、类型、度量、效应；通货膨胀的成因与治理分析；通货紧缩含义。</w:t>
      </w:r>
    </w:p>
    <w:p w14:paraId="0C8731DC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（十三）货币政策调控</w:t>
      </w:r>
    </w:p>
    <w:p w14:paraId="5D7F7C42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考试内容：货币政策及其目标、货币政策工具；货币政策的传导机制和时滞。</w:t>
      </w:r>
    </w:p>
    <w:p w14:paraId="5503C4AC" w14:textId="77777777" w:rsidR="00664A28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hint="eastAsia"/>
          <w:color w:val="FF0000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考试要求：掌握货币政策含义和构成要素；中介指标、最终目标、货币政策工具；一般性政策工具的内容与优缺点；货币政策时滞含义。</w:t>
      </w:r>
    </w:p>
    <w:p w14:paraId="585AD0DA" w14:textId="77777777" w:rsidR="00664A28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59AB2F7D" w14:textId="77777777" w:rsidR="00664A28" w:rsidRPr="00454A5F" w:rsidRDefault="00000000">
      <w:pPr>
        <w:widowControl/>
        <w:shd w:val="clear" w:color="auto" w:fill="FFFFFF"/>
        <w:spacing w:line="560" w:lineRule="exact"/>
        <w:ind w:firstLineChars="150" w:firstLine="361"/>
        <w:rPr>
          <w:rFonts w:ascii="仿宋" w:eastAsia="仿宋" w:hAnsi="仿宋" w:cs="仿宋" w:hint="eastAsia"/>
          <w:b/>
          <w:bCs/>
          <w:color w:val="FF0000"/>
          <w:kern w:val="0"/>
          <w:sz w:val="24"/>
          <w:szCs w:val="24"/>
        </w:rPr>
      </w:pPr>
      <w:r w:rsidRPr="00454A5F">
        <w:rPr>
          <w:rFonts w:ascii="仿宋" w:eastAsia="仿宋" w:hAnsi="仿宋" w:cs="仿宋" w:hint="eastAsia"/>
          <w:b/>
          <w:bCs/>
          <w:color w:val="FF0000"/>
          <w:kern w:val="0"/>
          <w:sz w:val="24"/>
          <w:szCs w:val="24"/>
        </w:rPr>
        <w:t>不能使用计算器。</w:t>
      </w:r>
    </w:p>
    <w:p w14:paraId="1749B5E4" w14:textId="77777777" w:rsidR="00664A28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24819F1C" w14:textId="77777777" w:rsidR="00664A28" w:rsidRDefault="00000000">
      <w:pPr>
        <w:widowControl/>
        <w:shd w:val="clear" w:color="auto" w:fill="FFFFFF"/>
        <w:spacing w:line="360" w:lineRule="auto"/>
        <w:ind w:firstLineChars="200" w:firstLine="480"/>
        <w:rPr>
          <w:rFonts w:ascii="仿宋" w:eastAsia="仿宋" w:hAnsi="仿宋" w:cs="方正小标宋简体" w:hint="eastAsia"/>
          <w:sz w:val="32"/>
          <w:szCs w:val="32"/>
        </w:rPr>
      </w:pPr>
      <w:r>
        <w:rPr>
          <w:rFonts w:ascii="仿宋" w:eastAsia="仿宋" w:hAnsi="仿宋" w:cs="仿宋" w:hint="eastAsia"/>
          <w:sz w:val="24"/>
          <w:szCs w:val="24"/>
        </w:rPr>
        <w:t>教材：曹龙骐主编，《金融学》（第七版），高等教育出版社，2023年，ISBN：9787040601343</w:t>
      </w:r>
    </w:p>
    <w:sectPr w:rsidR="00664A28">
      <w:footerReference w:type="default" r:id="rId8"/>
      <w:pgSz w:w="11906" w:h="16838"/>
      <w:pgMar w:top="1417" w:right="124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BC6EB" w14:textId="77777777" w:rsidR="0074406F" w:rsidRDefault="0074406F">
      <w:r>
        <w:separator/>
      </w:r>
    </w:p>
  </w:endnote>
  <w:endnote w:type="continuationSeparator" w:id="0">
    <w:p w14:paraId="77388963" w14:textId="77777777" w:rsidR="0074406F" w:rsidRDefault="0074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00423" w14:textId="77777777" w:rsidR="00664A28" w:rsidRDefault="00000000">
    <w:pPr>
      <w:pStyle w:val="a3"/>
      <w:jc w:val="center"/>
    </w:pPr>
    <w:r>
      <w:pict w14:anchorId="065BA1D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0;width:90.3pt;height:2in;z-index:251659264;mso-position-horizontal:center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147477838"/>
                </w:sdtPr>
                <w:sdtEndPr>
                  <w:rPr>
                    <w:rFonts w:ascii="仿宋" w:eastAsia="仿宋" w:hAnsi="仿宋" w:cs="仿宋" w:hint="eastAsia"/>
                    <w:sz w:val="21"/>
                    <w:szCs w:val="21"/>
                  </w:rPr>
                </w:sdtEndPr>
                <w:sdtContent>
                  <w:sdt>
                    <w:sdtPr>
                      <w:id w:val="147465993"/>
                    </w:sdtPr>
                    <w:sdtEndPr>
                      <w:rPr>
                        <w:rFonts w:ascii="仿宋" w:eastAsia="仿宋" w:hAnsi="仿宋" w:cs="仿宋" w:hint="eastAsia"/>
                        <w:sz w:val="21"/>
                        <w:szCs w:val="21"/>
                      </w:rPr>
                    </w:sdtEndPr>
                    <w:sdtContent>
                      <w:p w14:paraId="32E553BD" w14:textId="77777777" w:rsidR="00664A28" w:rsidRDefault="00000000">
                        <w:pPr>
                          <w:pStyle w:val="a3"/>
                          <w:jc w:val="center"/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</w:pPr>
                        <w:r>
                          <w:rPr>
                            <w:lang w:val="zh-CN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t>第</w:t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instrText>PAGE</w:instrText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t>页，共</w:t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instrText>NUMPAGES</w:instrText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仿宋" w:eastAsia="仿宋" w:hAnsi="仿宋" w:cs="仿宋" w:hint="eastAsia"/>
                            <w:sz w:val="21"/>
                            <w:szCs w:val="21"/>
                          </w:rPr>
                          <w:t>页</w:t>
                        </w:r>
                      </w:p>
                    </w:sdtContent>
                  </w:sdt>
                </w:sdtContent>
              </w:sdt>
            </w:txbxContent>
          </v:textbox>
          <w10:wrap anchorx="margin"/>
        </v:shape>
      </w:pict>
    </w:r>
  </w:p>
  <w:p w14:paraId="52DC4048" w14:textId="77777777" w:rsidR="00664A28" w:rsidRDefault="00664A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6AF08" w14:textId="77777777" w:rsidR="0074406F" w:rsidRDefault="0074406F">
      <w:r>
        <w:separator/>
      </w:r>
    </w:p>
  </w:footnote>
  <w:footnote w:type="continuationSeparator" w:id="0">
    <w:p w14:paraId="4813F9F3" w14:textId="77777777" w:rsidR="0074406F" w:rsidRDefault="00744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7049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MzOTFmN2ViYzUwMTFiZTQ4NGZmM2QyNzUwZWI5ZmEifQ=="/>
  </w:docVars>
  <w:rsids>
    <w:rsidRoot w:val="0074177C"/>
    <w:rsid w:val="000640A1"/>
    <w:rsid w:val="000E08DB"/>
    <w:rsid w:val="00116562"/>
    <w:rsid w:val="00184FFF"/>
    <w:rsid w:val="001E4845"/>
    <w:rsid w:val="00234FF5"/>
    <w:rsid w:val="003311BA"/>
    <w:rsid w:val="00343A4E"/>
    <w:rsid w:val="0038457D"/>
    <w:rsid w:val="00397BBE"/>
    <w:rsid w:val="003A56CB"/>
    <w:rsid w:val="004140AC"/>
    <w:rsid w:val="00454A5F"/>
    <w:rsid w:val="004736CD"/>
    <w:rsid w:val="0048357F"/>
    <w:rsid w:val="0050635B"/>
    <w:rsid w:val="005D08E1"/>
    <w:rsid w:val="00664A28"/>
    <w:rsid w:val="006F5516"/>
    <w:rsid w:val="006F6229"/>
    <w:rsid w:val="0074177C"/>
    <w:rsid w:val="0074406F"/>
    <w:rsid w:val="00751C19"/>
    <w:rsid w:val="00826F4C"/>
    <w:rsid w:val="00982D4F"/>
    <w:rsid w:val="00A02E1B"/>
    <w:rsid w:val="00A5452C"/>
    <w:rsid w:val="00A66AA3"/>
    <w:rsid w:val="00B56FFA"/>
    <w:rsid w:val="00B71426"/>
    <w:rsid w:val="00DE3AC5"/>
    <w:rsid w:val="00E17D95"/>
    <w:rsid w:val="00E60293"/>
    <w:rsid w:val="00ED4A03"/>
    <w:rsid w:val="00FE6CE7"/>
    <w:rsid w:val="21C96DBB"/>
    <w:rsid w:val="3BE3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CFBFC52-4B61-4E47-8ACC-93EC5DF6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17</cp:revision>
  <dcterms:created xsi:type="dcterms:W3CDTF">2022-02-22T07:07:00Z</dcterms:created>
  <dcterms:modified xsi:type="dcterms:W3CDTF">2025-02-27T01:42:00Z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7FAEF7D815F342E4A68841BD35BEBFED</vt:lpwstr>
  </property>
  <property fmtid="{D5CDD505-2E9C-101B-9397-08002B2CF9AE}" pid="4" name="KSOTemplateDocerSaveRecord">
    <vt:lpwstr>eyJoZGlkIjoiNDE4YWExZGMxZGI0NjE4YjViNzEyZGVjZmFkNzU0Y2UiLCJ1c2VySWQiOiIxMDg5MjIyMyJ9</vt:lpwstr>
  </property>
</Properties>
</file>